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6E6D0134" w:rsidR="005E3D09" w:rsidRDefault="005E3D09" w:rsidP="005E3D09">
      <w:pPr>
        <w:pStyle w:val="CRCoverPage"/>
        <w:tabs>
          <w:tab w:val="right" w:pos="9639"/>
        </w:tabs>
        <w:spacing w:after="0"/>
        <w:rPr>
          <w:b/>
          <w:i/>
          <w:noProof/>
          <w:sz w:val="28"/>
          <w:lang w:eastAsia="zh-TW"/>
        </w:rPr>
      </w:pPr>
      <w:r w:rsidRPr="00AD34F7">
        <w:rPr>
          <w:b/>
          <w:bCs/>
          <w:noProof/>
          <w:sz w:val="24"/>
        </w:rPr>
        <w:t>3GPP TSG RAN WG1 #11</w:t>
      </w:r>
      <w:r w:rsidR="00354C8F">
        <w:rPr>
          <w:b/>
          <w:bCs/>
          <w:noProof/>
          <w:sz w:val="24"/>
        </w:rPr>
        <w:t>8</w:t>
      </w:r>
      <w:r>
        <w:rPr>
          <w:b/>
          <w:i/>
          <w:noProof/>
          <w:sz w:val="28"/>
        </w:rPr>
        <w:tab/>
      </w:r>
      <w:r>
        <w:rPr>
          <w:b/>
          <w:iCs/>
          <w:noProof/>
          <w:sz w:val="24"/>
          <w:szCs w:val="18"/>
        </w:rPr>
        <w:t>R1-24</w:t>
      </w:r>
      <w:r w:rsidR="00456A50">
        <w:rPr>
          <w:b/>
          <w:iCs/>
          <w:noProof/>
          <w:sz w:val="24"/>
          <w:szCs w:val="18"/>
        </w:rPr>
        <w:t>07123</w:t>
      </w:r>
      <w:bookmarkStart w:id="0" w:name="_GoBack"/>
      <w:bookmarkEnd w:id="0"/>
    </w:p>
    <w:p w14:paraId="3DA237DF" w14:textId="110E27DE" w:rsidR="005E3D09" w:rsidRDefault="00354C8F" w:rsidP="005E3D09">
      <w:pPr>
        <w:pStyle w:val="CRCoverPage"/>
        <w:outlineLvl w:val="0"/>
        <w:rPr>
          <w:b/>
          <w:noProof/>
          <w:sz w:val="24"/>
        </w:rPr>
      </w:pPr>
      <w:r w:rsidRPr="00354C8F">
        <w:rPr>
          <w:rFonts w:eastAsia="SimSun" w:cs="Arial"/>
          <w:b/>
          <w:bCs/>
          <w:sz w:val="24"/>
          <w:lang w:eastAsia="zh-CN"/>
        </w:rPr>
        <w:t>Maastricht, NL, August 19th – 23rd, 2024</w:t>
      </w:r>
    </w:p>
    <w:p w14:paraId="0A356815" w14:textId="0A5705F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EA22B9">
        <w:rPr>
          <w:rFonts w:ascii="Arial" w:hAnsi="Arial" w:cs="Arial"/>
          <w:sz w:val="22"/>
          <w:szCs w:val="22"/>
          <w:lang w:val="pt-BR" w:eastAsia="zh-TW"/>
        </w:rPr>
        <w:t>9.2.4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760753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895D59">
        <w:rPr>
          <w:rFonts w:ascii="Arial" w:hAnsi="Arial" w:cs="Arial"/>
          <w:sz w:val="22"/>
          <w:szCs w:val="22"/>
          <w:lang w:val="en-US" w:eastAsia="zh-TW"/>
        </w:rPr>
        <w:t xml:space="preserve">Discussion on </w:t>
      </w:r>
      <w:r w:rsidR="00EA22B9">
        <w:rPr>
          <w:rFonts w:ascii="Arial" w:hAnsi="Arial" w:cs="Arial"/>
          <w:sz w:val="22"/>
          <w:szCs w:val="22"/>
          <w:lang w:val="en-US" w:eastAsia="zh-TW"/>
        </w:rPr>
        <w:t>asymmetric DL sTRP and UL mTRP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07F6210" w:rsidR="00B36C72"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EA22B9">
        <w:rPr>
          <w:rFonts w:ascii="Arial" w:hAnsi="Arial" w:cs="Arial"/>
          <w:sz w:val="22"/>
          <w:szCs w:val="22"/>
        </w:rPr>
        <w:t>some aspects for asymmetric DL sTRP and UL mTRP</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6FAEB67" w14:textId="2C128279" w:rsidR="001373BC" w:rsidRDefault="001373BC" w:rsidP="001373BC">
      <w:pPr>
        <w:pStyle w:val="4"/>
      </w:pPr>
      <w:r>
        <w:t>PL offset</w:t>
      </w:r>
      <w:r w:rsidR="00DC5CB0">
        <w:t xml:space="preserve"> </w:t>
      </w:r>
      <w:r w:rsidR="00DC5CB0" w:rsidRPr="00CE02FB">
        <w:rPr>
          <w:rFonts w:eastAsia="DengXian"/>
          <w:lang w:eastAsia="zh-CN"/>
        </w:rPr>
        <w:t>for PDCCH-order PRACH transmission at least for FR1</w:t>
      </w:r>
    </w:p>
    <w:p w14:paraId="0AD5955D" w14:textId="5B42D1A7" w:rsidR="00DC5CB0" w:rsidRPr="00DC5CB0" w:rsidRDefault="00DC5CB0" w:rsidP="00DC5CB0">
      <w:pPr>
        <w:overflowPunct/>
        <w:autoSpaceDE/>
        <w:autoSpaceDN/>
        <w:adjustRightInd/>
        <w:spacing w:after="0"/>
        <w:textAlignment w:val="auto"/>
        <w:rPr>
          <w:rFonts w:ascii="Times" w:eastAsia="DengXian" w:hAnsi="Times"/>
          <w:b/>
          <w:bCs/>
          <w:lang w:eastAsia="zh-CN"/>
        </w:rPr>
      </w:pPr>
      <w:r w:rsidRPr="00DC5CB0">
        <w:rPr>
          <w:rFonts w:ascii="Times" w:eastAsia="DengXian" w:hAnsi="Times"/>
          <w:b/>
          <w:bCs/>
          <w:highlight w:val="green"/>
          <w:lang w:eastAsia="zh-CN"/>
        </w:rPr>
        <w:t>Agreement</w:t>
      </w:r>
      <w:r>
        <w:rPr>
          <w:rFonts w:ascii="Times" w:eastAsia="DengXian" w:hAnsi="Times"/>
          <w:b/>
          <w:bCs/>
          <w:lang w:eastAsia="zh-CN"/>
        </w:rPr>
        <w:t xml:space="preserve"> (RAN1 #117)</w:t>
      </w:r>
    </w:p>
    <w:p w14:paraId="3ECFD618" w14:textId="77777777" w:rsidR="00DC5CB0" w:rsidRPr="00DC5CB0" w:rsidRDefault="00DC5CB0" w:rsidP="00DC5CB0">
      <w:pPr>
        <w:overflowPunct/>
        <w:autoSpaceDE/>
        <w:autoSpaceDN/>
        <w:adjustRightInd/>
        <w:spacing w:after="0"/>
        <w:textAlignment w:val="auto"/>
        <w:rPr>
          <w:rFonts w:ascii="Times" w:eastAsia="DengXian" w:hAnsi="Times"/>
          <w:lang w:eastAsia="zh-CN"/>
        </w:rPr>
      </w:pPr>
      <w:r w:rsidRPr="00DC5CB0">
        <w:rPr>
          <w:rFonts w:ascii="Times" w:eastAsia="DengXian" w:hAnsi="Times"/>
          <w:lang w:eastAsia="zh-CN"/>
        </w:rPr>
        <w:t>For indicating a PL offset for PDCCH-order PRACH transmission at least for FR1, further study and down-select one from the Alt1 and Alt3 by RAN1#118 meeting:</w:t>
      </w:r>
    </w:p>
    <w:p w14:paraId="4655313B" w14:textId="77777777" w:rsidR="00DC5CB0" w:rsidRPr="00DC5CB0" w:rsidRDefault="00DC5CB0" w:rsidP="00DC5CB0">
      <w:pPr>
        <w:numPr>
          <w:ilvl w:val="0"/>
          <w:numId w:val="45"/>
        </w:numPr>
        <w:overflowPunct/>
        <w:autoSpaceDE/>
        <w:autoSpaceDN/>
        <w:adjustRightInd/>
        <w:spacing w:after="0"/>
        <w:jc w:val="both"/>
        <w:textAlignment w:val="auto"/>
        <w:rPr>
          <w:rFonts w:ascii="Times" w:eastAsia="DengXian" w:hAnsi="Times"/>
          <w:lang w:eastAsia="zh-CN"/>
        </w:rPr>
      </w:pPr>
      <w:r w:rsidRPr="00DC5CB0">
        <w:rPr>
          <w:rFonts w:ascii="Times" w:eastAsia="DengXian" w:hAnsi="Times"/>
          <w:szCs w:val="18"/>
          <w:lang w:eastAsia="x-none"/>
        </w:rPr>
        <w:t>Alt1: RRC configures multiple PL offset values [in PRACH-Config] and PDCCH-order DCI indicates one of them through one DCI field</w:t>
      </w:r>
      <w:r w:rsidRPr="00DC5CB0">
        <w:rPr>
          <w:rFonts w:ascii="Times" w:eastAsia="DengXian" w:hAnsi="Times"/>
          <w:lang w:eastAsia="zh-CN"/>
        </w:rPr>
        <w:t xml:space="preserve"> </w:t>
      </w:r>
    </w:p>
    <w:p w14:paraId="4D4E8E75" w14:textId="77777777" w:rsidR="00DC5CB0" w:rsidRPr="00DC5CB0" w:rsidRDefault="00DC5CB0" w:rsidP="00DC5CB0">
      <w:pPr>
        <w:numPr>
          <w:ilvl w:val="0"/>
          <w:numId w:val="45"/>
        </w:numPr>
        <w:overflowPunct/>
        <w:autoSpaceDE/>
        <w:autoSpaceDN/>
        <w:adjustRightInd/>
        <w:spacing w:after="0"/>
        <w:textAlignment w:val="auto"/>
        <w:rPr>
          <w:rFonts w:ascii="Times" w:eastAsia="DengXian" w:hAnsi="Times"/>
          <w:lang w:eastAsia="zh-CN"/>
        </w:rPr>
      </w:pPr>
      <w:r w:rsidRPr="00DC5CB0">
        <w:rPr>
          <w:rFonts w:ascii="Times" w:eastAsia="DengXian" w:hAnsi="Times"/>
          <w:szCs w:val="18"/>
          <w:lang w:eastAsia="en-US"/>
        </w:rPr>
        <w:t>Alt3: The PL offset associated with one of the indicated joint/UL TCI state for UL TRP in unified TCI framework is applied on the PDCCH-order PRACH transmission</w:t>
      </w:r>
    </w:p>
    <w:p w14:paraId="59BBF92A" w14:textId="77777777" w:rsidR="00DC5CB0" w:rsidRPr="00DC5CB0" w:rsidRDefault="00DC5CB0" w:rsidP="00DC5CB0">
      <w:pPr>
        <w:numPr>
          <w:ilvl w:val="0"/>
          <w:numId w:val="45"/>
        </w:numPr>
        <w:overflowPunct/>
        <w:autoSpaceDE/>
        <w:autoSpaceDN/>
        <w:adjustRightInd/>
        <w:spacing w:after="0"/>
        <w:jc w:val="both"/>
        <w:textAlignment w:val="auto"/>
        <w:rPr>
          <w:rFonts w:ascii="Times" w:eastAsia="DengXian" w:hAnsi="Times"/>
          <w:lang w:eastAsia="zh-CN"/>
        </w:rPr>
      </w:pPr>
      <w:r w:rsidRPr="00DC5CB0">
        <w:rPr>
          <w:rFonts w:ascii="Times" w:eastAsia="DengXian" w:hAnsi="Times"/>
          <w:lang w:eastAsia="zh-CN"/>
        </w:rPr>
        <w:t>FFS: the details of DCI field design.</w:t>
      </w:r>
    </w:p>
    <w:p w14:paraId="59E64879" w14:textId="00DE9084" w:rsidR="00DC5CB0" w:rsidRDefault="001373BC" w:rsidP="00325D9C">
      <w:pPr>
        <w:jc w:val="both"/>
        <w:rPr>
          <w:rFonts w:ascii="Arial" w:eastAsiaTheme="minorEastAsia" w:hAnsi="Arial" w:cs="Arial"/>
          <w:bCs/>
          <w:sz w:val="22"/>
          <w:szCs w:val="22"/>
        </w:rPr>
      </w:pPr>
      <w:r>
        <w:rPr>
          <w:rFonts w:ascii="Arial" w:eastAsiaTheme="minorEastAsia" w:hAnsi="Arial" w:cs="Arial"/>
          <w:bCs/>
          <w:sz w:val="22"/>
          <w:szCs w:val="22"/>
        </w:rPr>
        <w:t xml:space="preserve">In RAN1 </w:t>
      </w:r>
      <w:r w:rsidR="00DC5CB0">
        <w:rPr>
          <w:rFonts w:ascii="Arial" w:eastAsiaTheme="minorEastAsia" w:hAnsi="Arial" w:cs="Arial"/>
          <w:bCs/>
          <w:sz w:val="22"/>
          <w:szCs w:val="22"/>
        </w:rPr>
        <w:t>117</w:t>
      </w:r>
      <w:r w:rsidR="00EF5EEA">
        <w:rPr>
          <w:rFonts w:ascii="Arial" w:eastAsiaTheme="minorEastAsia" w:hAnsi="Arial" w:cs="Arial"/>
          <w:bCs/>
          <w:sz w:val="22"/>
          <w:szCs w:val="22"/>
        </w:rPr>
        <w:t xml:space="preserve"> </w:t>
      </w:r>
      <w:r>
        <w:rPr>
          <w:rFonts w:ascii="Arial" w:eastAsiaTheme="minorEastAsia" w:hAnsi="Arial" w:cs="Arial"/>
          <w:bCs/>
          <w:sz w:val="22"/>
          <w:szCs w:val="22"/>
        </w:rPr>
        <w:t xml:space="preserve">meeting, </w:t>
      </w:r>
      <w:r w:rsidR="00DC5CB0">
        <w:rPr>
          <w:rFonts w:ascii="Arial" w:eastAsiaTheme="minorEastAsia" w:hAnsi="Arial" w:cs="Arial"/>
          <w:bCs/>
          <w:sz w:val="22"/>
          <w:szCs w:val="22"/>
        </w:rPr>
        <w:t xml:space="preserve">one remaining issue is how to indicate PL offset for PDCCH-order triggered PRACH transmission. During discussion in past meeting, the debated point seems to have an unified design for FR1 and FR2 or support FR1 only. Both Alt1 and Alt 3 listed in the agreement could work. However, depending on different supported frequency range, Alt3 is more likely a solution for </w:t>
      </w:r>
      <w:r w:rsidR="00A057DB">
        <w:rPr>
          <w:rFonts w:ascii="Arial" w:eastAsiaTheme="minorEastAsia" w:hAnsi="Arial" w:cs="Arial"/>
          <w:bCs/>
          <w:sz w:val="22"/>
          <w:szCs w:val="22"/>
        </w:rPr>
        <w:t xml:space="preserve">supporting PDCCH-order triggered PRACH transmission for </w:t>
      </w:r>
      <w:r w:rsidR="00DC5CB0">
        <w:rPr>
          <w:rFonts w:ascii="Arial" w:eastAsiaTheme="minorEastAsia" w:hAnsi="Arial" w:cs="Arial"/>
          <w:bCs/>
          <w:sz w:val="22"/>
          <w:szCs w:val="22"/>
        </w:rPr>
        <w:t xml:space="preserve">both FR1 and FR2 </w:t>
      </w:r>
      <w:r w:rsidR="00A057DB">
        <w:rPr>
          <w:rFonts w:ascii="Arial" w:eastAsiaTheme="minorEastAsia" w:hAnsi="Arial" w:cs="Arial"/>
          <w:bCs/>
          <w:sz w:val="22"/>
          <w:szCs w:val="22"/>
        </w:rPr>
        <w:t xml:space="preserve">while Alt1 is more likely a solution for supporting PDCCH-order triggered PRACH transmission for FR1 only. From </w:t>
      </w:r>
      <w:r w:rsidR="00EB7964">
        <w:rPr>
          <w:rFonts w:ascii="Arial" w:eastAsiaTheme="minorEastAsia" w:hAnsi="Arial" w:cs="Arial"/>
          <w:bCs/>
          <w:sz w:val="22"/>
          <w:szCs w:val="22"/>
        </w:rPr>
        <w:t>signalling overhead</w:t>
      </w:r>
      <w:r w:rsidR="00FE69DD">
        <w:rPr>
          <w:rFonts w:ascii="Arial" w:eastAsiaTheme="minorEastAsia" w:hAnsi="Arial" w:cs="Arial"/>
          <w:bCs/>
          <w:sz w:val="22"/>
          <w:szCs w:val="22"/>
        </w:rPr>
        <w:t xml:space="preserve"> point of view</w:t>
      </w:r>
      <w:r w:rsidR="00EB7964">
        <w:rPr>
          <w:rFonts w:ascii="Arial" w:eastAsiaTheme="minorEastAsia" w:hAnsi="Arial" w:cs="Arial"/>
          <w:bCs/>
          <w:sz w:val="22"/>
          <w:szCs w:val="22"/>
        </w:rPr>
        <w:t xml:space="preserve">, Alt1 may depend on the number of configured PL offset values while Alt3 may need one bit to associate which indicated joint/UL TCI state. </w:t>
      </w:r>
      <w:r w:rsidR="006F49BB">
        <w:rPr>
          <w:rFonts w:ascii="Arial" w:eastAsiaTheme="minorEastAsia" w:hAnsi="Arial" w:cs="Arial"/>
          <w:bCs/>
          <w:sz w:val="22"/>
          <w:szCs w:val="22"/>
        </w:rPr>
        <w:t>Besides, Alt1 seems to avoid dependency with TCI state, however, since PDCCH-order triggered PRACH transmission for UL only TRP is triggered in RRC connected state for at least the UE has connected with the DL/UL TRP</w:t>
      </w:r>
      <w:r w:rsidR="00F72972">
        <w:rPr>
          <w:rFonts w:ascii="Arial" w:eastAsiaTheme="minorEastAsia" w:hAnsi="Arial" w:cs="Arial"/>
          <w:bCs/>
          <w:sz w:val="22"/>
          <w:szCs w:val="22"/>
        </w:rPr>
        <w:t xml:space="preserve">, having the dependency with indicated TCI state could save some signalling overhead and </w:t>
      </w:r>
      <w:r w:rsidR="006F49BB">
        <w:rPr>
          <w:rFonts w:ascii="Arial" w:eastAsiaTheme="minorEastAsia" w:hAnsi="Arial" w:cs="Arial"/>
          <w:bCs/>
          <w:sz w:val="22"/>
          <w:szCs w:val="22"/>
        </w:rPr>
        <w:t xml:space="preserve">there seems no strong need to </w:t>
      </w:r>
      <w:r w:rsidR="000E2889">
        <w:rPr>
          <w:rFonts w:ascii="Arial" w:eastAsiaTheme="minorEastAsia" w:hAnsi="Arial" w:cs="Arial"/>
          <w:bCs/>
          <w:sz w:val="22"/>
          <w:szCs w:val="22"/>
        </w:rPr>
        <w:t>configure multiple PL offset values in PRACH-config</w:t>
      </w:r>
      <w:r w:rsidR="00F72972">
        <w:rPr>
          <w:rFonts w:ascii="Arial" w:eastAsiaTheme="minorEastAsia" w:hAnsi="Arial" w:cs="Arial"/>
          <w:bCs/>
          <w:sz w:val="22"/>
          <w:szCs w:val="22"/>
        </w:rPr>
        <w:t xml:space="preserve">. Thus, in light of above, we prefer Alt3 for </w:t>
      </w:r>
      <w:r w:rsidR="00F72972" w:rsidRPr="00F72972">
        <w:rPr>
          <w:rFonts w:ascii="Arial" w:eastAsiaTheme="minorEastAsia" w:hAnsi="Arial" w:cs="Arial"/>
          <w:bCs/>
          <w:sz w:val="22"/>
          <w:szCs w:val="22"/>
        </w:rPr>
        <w:t>indicating a PL offset for PDCCH-order PRACH transmission</w:t>
      </w:r>
      <w:r w:rsidR="00F72972">
        <w:rPr>
          <w:rFonts w:ascii="Arial" w:eastAsiaTheme="minorEastAsia" w:hAnsi="Arial" w:cs="Arial"/>
          <w:bCs/>
          <w:sz w:val="22"/>
          <w:szCs w:val="22"/>
        </w:rPr>
        <w:t>.</w:t>
      </w:r>
    </w:p>
    <w:p w14:paraId="35FD0057" w14:textId="4B946270" w:rsidR="008C1A9B" w:rsidRDefault="00C10222" w:rsidP="00C1022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8C1A9B">
        <w:rPr>
          <w:rFonts w:ascii="Arial" w:eastAsiaTheme="minorEastAsia" w:hAnsi="Arial" w:cs="Arial"/>
          <w:b/>
          <w:bCs/>
          <w:sz w:val="22"/>
          <w:szCs w:val="22"/>
        </w:rPr>
        <w:t xml:space="preserve">Support Alt3 to </w:t>
      </w:r>
      <w:r w:rsidR="00F72972" w:rsidRPr="00F72972">
        <w:rPr>
          <w:rFonts w:ascii="Arial" w:eastAsiaTheme="minorEastAsia" w:hAnsi="Arial" w:cs="Arial"/>
          <w:b/>
          <w:bCs/>
          <w:sz w:val="22"/>
          <w:szCs w:val="22"/>
        </w:rPr>
        <w:t>indicat</w:t>
      </w:r>
      <w:r w:rsidR="00F72972">
        <w:rPr>
          <w:rFonts w:ascii="Arial" w:eastAsiaTheme="minorEastAsia" w:hAnsi="Arial" w:cs="Arial"/>
          <w:b/>
          <w:bCs/>
          <w:sz w:val="22"/>
          <w:szCs w:val="22"/>
        </w:rPr>
        <w:t>e</w:t>
      </w:r>
      <w:r w:rsidR="00F72972" w:rsidRPr="00F72972">
        <w:rPr>
          <w:rFonts w:ascii="Arial" w:eastAsiaTheme="minorEastAsia" w:hAnsi="Arial" w:cs="Arial"/>
          <w:b/>
          <w:bCs/>
          <w:sz w:val="22"/>
          <w:szCs w:val="22"/>
        </w:rPr>
        <w:t xml:space="preserve"> a PL offset for PDCCH-order PRACH transmission</w:t>
      </w:r>
      <w:r w:rsidR="0096558F">
        <w:rPr>
          <w:rFonts w:ascii="Arial" w:eastAsiaTheme="minorEastAsia" w:hAnsi="Arial" w:cs="Arial"/>
          <w:b/>
          <w:bCs/>
          <w:sz w:val="22"/>
          <w:szCs w:val="22"/>
        </w:rPr>
        <w:t>.</w:t>
      </w:r>
    </w:p>
    <w:p w14:paraId="16914033" w14:textId="33A92C6A" w:rsidR="0096558F" w:rsidRPr="0096558F" w:rsidRDefault="0096558F" w:rsidP="0096558F">
      <w:pPr>
        <w:pStyle w:val="afe"/>
        <w:numPr>
          <w:ilvl w:val="0"/>
          <w:numId w:val="46"/>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96558F">
        <w:rPr>
          <w:rFonts w:ascii="Arial" w:eastAsiaTheme="minorEastAsia" w:hAnsi="Arial" w:cs="Arial"/>
          <w:b/>
          <w:bCs/>
          <w:sz w:val="22"/>
          <w:szCs w:val="22"/>
        </w:rPr>
        <w:lastRenderedPageBreak/>
        <w:t>Alt3: The PL offset associated with one of the indicated joint/UL TCI state for UL TRP in unified TCI framework is applied on the PDCCH-order PRACH transmission</w:t>
      </w:r>
    </w:p>
    <w:p w14:paraId="4A72B226" w14:textId="3F75709A" w:rsidR="00F72972" w:rsidRDefault="00F72972" w:rsidP="00F72972">
      <w:pPr>
        <w:pStyle w:val="4"/>
      </w:pPr>
      <w:r>
        <w:t>PHR</w:t>
      </w:r>
    </w:p>
    <w:p w14:paraId="0BD4E402" w14:textId="2BACA7F0" w:rsidR="004A3FF9" w:rsidRPr="004A3FF9" w:rsidRDefault="004A3FF9" w:rsidP="004A3FF9">
      <w:pPr>
        <w:overflowPunct/>
        <w:autoSpaceDE/>
        <w:autoSpaceDN/>
        <w:adjustRightInd/>
        <w:spacing w:after="0"/>
        <w:textAlignment w:val="auto"/>
        <w:rPr>
          <w:rFonts w:ascii="Times" w:eastAsia="DengXian" w:hAnsi="Times"/>
          <w:b/>
          <w:bCs/>
          <w:lang w:eastAsia="zh-CN"/>
        </w:rPr>
      </w:pPr>
      <w:r w:rsidRPr="004A3FF9">
        <w:rPr>
          <w:rFonts w:ascii="Times" w:eastAsia="DengXian" w:hAnsi="Times"/>
          <w:b/>
          <w:bCs/>
          <w:highlight w:val="green"/>
          <w:lang w:eastAsia="zh-CN"/>
        </w:rPr>
        <w:t>Agreement</w:t>
      </w:r>
      <w:r>
        <w:rPr>
          <w:rFonts w:ascii="Times" w:eastAsia="DengXian" w:hAnsi="Times"/>
          <w:b/>
          <w:bCs/>
          <w:lang w:eastAsia="zh-CN"/>
        </w:rPr>
        <w:t xml:space="preserve"> (RAN1 #117)</w:t>
      </w:r>
    </w:p>
    <w:p w14:paraId="013BE750" w14:textId="77777777" w:rsidR="004A3FF9" w:rsidRPr="004A3FF9" w:rsidRDefault="004A3FF9" w:rsidP="004A3FF9">
      <w:pPr>
        <w:overflowPunct/>
        <w:autoSpaceDE/>
        <w:autoSpaceDN/>
        <w:adjustRightInd/>
        <w:spacing w:after="0"/>
        <w:textAlignment w:val="auto"/>
        <w:rPr>
          <w:rFonts w:ascii="Times" w:eastAsia="DengXian" w:hAnsi="Times" w:cs="Batang"/>
          <w:szCs w:val="18"/>
          <w:lang w:eastAsia="en-US"/>
        </w:rPr>
      </w:pPr>
      <w:r w:rsidRPr="004A3FF9">
        <w:rPr>
          <w:rFonts w:ascii="Times" w:eastAsia="DengXian" w:hAnsi="Times" w:cs="Batang"/>
          <w:szCs w:val="18"/>
          <w:lang w:eastAsia="en-US"/>
        </w:rPr>
        <w:t>For the association between PL offset and joint/UL TCI state, support the following</w:t>
      </w:r>
    </w:p>
    <w:p w14:paraId="72259F95" w14:textId="77777777" w:rsidR="004A3FF9" w:rsidRPr="004A3FF9" w:rsidRDefault="004A3FF9" w:rsidP="004A3FF9">
      <w:pPr>
        <w:numPr>
          <w:ilvl w:val="0"/>
          <w:numId w:val="43"/>
        </w:numPr>
        <w:overflowPunct/>
        <w:autoSpaceDE/>
        <w:autoSpaceDN/>
        <w:adjustRightInd/>
        <w:spacing w:after="0"/>
        <w:textAlignment w:val="auto"/>
        <w:rPr>
          <w:rFonts w:ascii="Times" w:eastAsia="DengXian" w:hAnsi="Times"/>
          <w:szCs w:val="18"/>
          <w:lang w:eastAsia="en-US"/>
        </w:rPr>
      </w:pPr>
      <w:r w:rsidRPr="004A3FF9">
        <w:rPr>
          <w:rFonts w:ascii="Times" w:eastAsia="DengXian" w:hAnsi="Times"/>
          <w:szCs w:val="18"/>
          <w:lang w:eastAsia="en-US"/>
        </w:rPr>
        <w:t>Alt1b: One PL offset value is configured in a joint or UL TCI state by RRC</w:t>
      </w:r>
      <w:r w:rsidRPr="004A3FF9">
        <w:rPr>
          <w:rFonts w:ascii="Times" w:eastAsia="DengXian" w:hAnsi="Times" w:cs="Batang"/>
          <w:szCs w:val="18"/>
          <w:lang w:eastAsia="en-US"/>
        </w:rPr>
        <w:t>, where different PL offset values can be configured to different joint or UL TCI states</w:t>
      </w:r>
      <w:r w:rsidRPr="004A3FF9">
        <w:rPr>
          <w:rFonts w:ascii="Times" w:eastAsia="DengXian" w:hAnsi="Times"/>
          <w:szCs w:val="18"/>
          <w:lang w:eastAsia="en-US"/>
        </w:rPr>
        <w:t xml:space="preserve">. A MAC CE can update </w:t>
      </w:r>
      <w:r w:rsidRPr="004A3FF9">
        <w:rPr>
          <w:rFonts w:ascii="Times" w:eastAsia="DengXian" w:hAnsi="Times"/>
          <w:szCs w:val="18"/>
          <w:lang w:eastAsia="zh-CN"/>
        </w:rPr>
        <w:t>the</w:t>
      </w:r>
      <w:r w:rsidRPr="004A3FF9">
        <w:rPr>
          <w:rFonts w:ascii="Times" w:eastAsia="DengXian" w:hAnsi="Times"/>
          <w:szCs w:val="18"/>
          <w:lang w:eastAsia="en-US"/>
        </w:rPr>
        <w:t xml:space="preserve"> PL offset value(s) for joint or UL TCI state(s).</w:t>
      </w:r>
    </w:p>
    <w:p w14:paraId="03ACE113" w14:textId="664629F5" w:rsidR="00D11801" w:rsidRPr="00D11801" w:rsidRDefault="00D11801" w:rsidP="00D11801">
      <w:pPr>
        <w:overflowPunct/>
        <w:autoSpaceDE/>
        <w:autoSpaceDN/>
        <w:adjustRightInd/>
        <w:spacing w:after="0"/>
        <w:textAlignment w:val="auto"/>
        <w:rPr>
          <w:rFonts w:ascii="Times" w:eastAsia="DengXian" w:hAnsi="Times"/>
          <w:lang w:eastAsia="zh-CN"/>
        </w:rPr>
      </w:pPr>
      <w:r w:rsidRPr="00D11801">
        <w:rPr>
          <w:rFonts w:ascii="Times" w:eastAsia="DengXian" w:hAnsi="Times"/>
          <w:b/>
          <w:bCs/>
          <w:highlight w:val="green"/>
          <w:lang w:eastAsia="zh-CN"/>
        </w:rPr>
        <w:t>Agreement</w:t>
      </w:r>
      <w:r>
        <w:rPr>
          <w:rFonts w:ascii="Times" w:eastAsia="DengXian" w:hAnsi="Times"/>
          <w:b/>
          <w:bCs/>
          <w:lang w:eastAsia="zh-CN"/>
        </w:rPr>
        <w:t xml:space="preserve"> (RAN1 #117)</w:t>
      </w:r>
    </w:p>
    <w:p w14:paraId="1A435405" w14:textId="77777777" w:rsidR="00D11801" w:rsidRPr="00D11801" w:rsidRDefault="00D11801" w:rsidP="00D11801">
      <w:pPr>
        <w:overflowPunct/>
        <w:autoSpaceDE/>
        <w:autoSpaceDN/>
        <w:adjustRightInd/>
        <w:spacing w:after="0"/>
        <w:textAlignment w:val="auto"/>
        <w:rPr>
          <w:rFonts w:ascii="Times" w:eastAsia="DengXian" w:hAnsi="Times"/>
          <w:szCs w:val="24"/>
          <w:lang w:eastAsia="zh-CN"/>
        </w:rPr>
      </w:pPr>
      <w:r w:rsidRPr="00D11801">
        <w:rPr>
          <w:rFonts w:ascii="Times" w:eastAsia="DengXian" w:hAnsi="Times"/>
          <w:szCs w:val="24"/>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p w14:paraId="3A00EFDC" w14:textId="77777777" w:rsidR="004A3FF9" w:rsidRDefault="004A3FF9" w:rsidP="00F72972">
      <w:pPr>
        <w:jc w:val="both"/>
        <w:rPr>
          <w:rFonts w:ascii="Arial" w:eastAsiaTheme="minorEastAsia" w:hAnsi="Arial" w:cs="Arial"/>
          <w:bCs/>
          <w:sz w:val="22"/>
          <w:szCs w:val="22"/>
        </w:rPr>
      </w:pPr>
    </w:p>
    <w:p w14:paraId="2D2934F9" w14:textId="4A97E0CD" w:rsidR="00F72972" w:rsidRPr="00720965" w:rsidRDefault="00F72972" w:rsidP="00F72972">
      <w:pPr>
        <w:jc w:val="both"/>
        <w:rPr>
          <w:rFonts w:ascii="Arial" w:eastAsiaTheme="minorEastAsia" w:hAnsi="Arial" w:cs="Arial"/>
          <w:b/>
          <w:bCs/>
          <w:sz w:val="22"/>
          <w:szCs w:val="22"/>
        </w:rPr>
      </w:pPr>
      <w:r>
        <w:rPr>
          <w:rFonts w:ascii="Arial" w:eastAsiaTheme="minorEastAsia" w:hAnsi="Arial" w:cs="Arial"/>
          <w:bCs/>
          <w:sz w:val="22"/>
          <w:szCs w:val="22"/>
        </w:rPr>
        <w:t>In previous RAN1 meeting,</w:t>
      </w:r>
      <w:r w:rsidR="00D11801">
        <w:rPr>
          <w:rFonts w:ascii="Arial" w:eastAsiaTheme="minorEastAsia" w:hAnsi="Arial" w:cs="Arial"/>
          <w:bCs/>
          <w:sz w:val="22"/>
          <w:szCs w:val="22"/>
        </w:rPr>
        <w:t xml:space="preserve"> a left study point corresponds to </w:t>
      </w:r>
      <w:r w:rsidR="00D25FB0">
        <w:rPr>
          <w:rFonts w:ascii="Arial" w:eastAsiaTheme="minorEastAsia" w:hAnsi="Arial" w:cs="Arial"/>
          <w:bCs/>
          <w:sz w:val="22"/>
          <w:szCs w:val="22"/>
        </w:rPr>
        <w:t>impact of PL offset in PHR calculation</w:t>
      </w:r>
      <w:r>
        <w:rPr>
          <w:rFonts w:ascii="Arial" w:eastAsiaTheme="minorEastAsia" w:hAnsi="Arial" w:cs="Arial"/>
          <w:bCs/>
          <w:sz w:val="22"/>
          <w:szCs w:val="22"/>
        </w:rPr>
        <w:t xml:space="preserve">. </w:t>
      </w:r>
      <w:r w:rsidR="00D25FB0">
        <w:rPr>
          <w:rFonts w:ascii="Arial" w:eastAsiaTheme="minorEastAsia" w:hAnsi="Arial" w:cs="Arial"/>
          <w:bCs/>
          <w:sz w:val="22"/>
          <w:szCs w:val="22"/>
        </w:rPr>
        <w:t xml:space="preserve">From our perspective, </w:t>
      </w:r>
      <w:r w:rsidR="00B9653C">
        <w:rPr>
          <w:rFonts w:ascii="Arial" w:eastAsiaTheme="minorEastAsia" w:hAnsi="Arial" w:cs="Arial"/>
          <w:bCs/>
          <w:sz w:val="22"/>
          <w:szCs w:val="22"/>
        </w:rPr>
        <w:t xml:space="preserve">it may depend on whether </w:t>
      </w:r>
      <w:r w:rsidR="00B9653C" w:rsidRPr="00B9653C">
        <w:rPr>
          <w:rFonts w:ascii="Arial" w:eastAsiaTheme="minorEastAsia" w:hAnsi="Arial" w:cs="Arial"/>
          <w:bCs/>
          <w:i/>
          <w:sz w:val="22"/>
          <w:szCs w:val="22"/>
        </w:rPr>
        <w:t>twoPHRMode</w:t>
      </w:r>
      <w:r w:rsidR="00B9653C">
        <w:rPr>
          <w:rFonts w:ascii="Arial" w:eastAsiaTheme="minorEastAsia" w:hAnsi="Arial" w:cs="Arial"/>
          <w:bCs/>
          <w:sz w:val="22"/>
          <w:szCs w:val="22"/>
        </w:rPr>
        <w:t xml:space="preserve"> is configured or not. If the </w:t>
      </w:r>
      <w:r w:rsidR="00B9653C" w:rsidRPr="00B9653C">
        <w:rPr>
          <w:rFonts w:ascii="Arial" w:eastAsiaTheme="minorEastAsia" w:hAnsi="Arial" w:cs="Arial"/>
          <w:bCs/>
          <w:i/>
          <w:sz w:val="22"/>
          <w:szCs w:val="22"/>
        </w:rPr>
        <w:t>two PHRMode</w:t>
      </w:r>
      <w:r w:rsidR="00B9653C">
        <w:rPr>
          <w:rFonts w:ascii="Arial" w:eastAsiaTheme="minorEastAsia" w:hAnsi="Arial" w:cs="Arial"/>
          <w:bCs/>
          <w:sz w:val="22"/>
          <w:szCs w:val="22"/>
        </w:rPr>
        <w:t xml:space="preserve"> is not configured, we think legacy PHR calculation could be performed which means there is no need to have PL offset for PHR calculation. If the </w:t>
      </w:r>
      <w:r w:rsidR="004A3FF9">
        <w:rPr>
          <w:rFonts w:ascii="Arial" w:eastAsiaTheme="minorEastAsia" w:hAnsi="Arial" w:cs="Arial"/>
          <w:bCs/>
          <w:i/>
          <w:sz w:val="22"/>
          <w:szCs w:val="22"/>
        </w:rPr>
        <w:t>two</w:t>
      </w:r>
      <w:r w:rsidR="00B9653C" w:rsidRPr="00B9653C">
        <w:rPr>
          <w:rFonts w:ascii="Arial" w:eastAsiaTheme="minorEastAsia" w:hAnsi="Arial" w:cs="Arial"/>
          <w:bCs/>
          <w:i/>
          <w:sz w:val="22"/>
          <w:szCs w:val="22"/>
        </w:rPr>
        <w:t>PHRMode</w:t>
      </w:r>
      <w:r w:rsidR="00B9653C">
        <w:rPr>
          <w:rFonts w:ascii="Arial" w:eastAsiaTheme="minorEastAsia" w:hAnsi="Arial" w:cs="Arial"/>
          <w:bCs/>
          <w:sz w:val="22"/>
          <w:szCs w:val="22"/>
        </w:rPr>
        <w:t xml:space="preserve"> is configured, </w:t>
      </w:r>
      <w:r w:rsidR="004A3FF9">
        <w:rPr>
          <w:rFonts w:ascii="Arial" w:eastAsiaTheme="minorEastAsia" w:hAnsi="Arial" w:cs="Arial"/>
          <w:bCs/>
          <w:sz w:val="22"/>
          <w:szCs w:val="22"/>
        </w:rPr>
        <w:t>the UE</w:t>
      </w:r>
      <w:r w:rsidR="004E099B">
        <w:rPr>
          <w:rFonts w:ascii="Arial" w:eastAsiaTheme="minorEastAsia" w:hAnsi="Arial" w:cs="Arial"/>
          <w:bCs/>
          <w:sz w:val="22"/>
          <w:szCs w:val="22"/>
        </w:rPr>
        <w:t xml:space="preserve"> calculate</w:t>
      </w:r>
      <w:r w:rsidR="004A3FF9">
        <w:rPr>
          <w:rFonts w:ascii="Arial" w:eastAsiaTheme="minorEastAsia" w:hAnsi="Arial" w:cs="Arial"/>
          <w:bCs/>
          <w:sz w:val="22"/>
          <w:szCs w:val="22"/>
        </w:rPr>
        <w:t>s</w:t>
      </w:r>
      <w:r w:rsidR="004E099B">
        <w:rPr>
          <w:rFonts w:ascii="Arial" w:eastAsiaTheme="minorEastAsia" w:hAnsi="Arial" w:cs="Arial"/>
          <w:bCs/>
          <w:sz w:val="22"/>
          <w:szCs w:val="22"/>
        </w:rPr>
        <w:t xml:space="preserve"> two PHs associated with two indicated TCI states, respectively. Besides, for one PH of the two PHs associated with the indicated TCI state with a PL offset</w:t>
      </w:r>
      <w:r w:rsidR="008C6EE9">
        <w:rPr>
          <w:rFonts w:ascii="Arial" w:eastAsiaTheme="minorEastAsia" w:hAnsi="Arial" w:cs="Arial"/>
          <w:bCs/>
          <w:sz w:val="22"/>
          <w:szCs w:val="22"/>
        </w:rPr>
        <w:t xml:space="preserve"> value</w:t>
      </w:r>
      <w:r w:rsidR="004E099B">
        <w:rPr>
          <w:rFonts w:ascii="Arial" w:eastAsiaTheme="minorEastAsia" w:hAnsi="Arial" w:cs="Arial"/>
          <w:bCs/>
          <w:sz w:val="22"/>
          <w:szCs w:val="22"/>
        </w:rPr>
        <w:t>, the UE should calculate the one PH based on the PL offset</w:t>
      </w:r>
      <w:r w:rsidR="004A3FF9">
        <w:rPr>
          <w:rFonts w:ascii="Arial" w:eastAsiaTheme="minorEastAsia" w:hAnsi="Arial" w:cs="Arial"/>
          <w:bCs/>
          <w:sz w:val="22"/>
          <w:szCs w:val="22"/>
        </w:rPr>
        <w:t xml:space="preserve"> value. Without loss of generality, the PL offset value may be updated by MAC CE according to previous </w:t>
      </w:r>
      <w:r w:rsidR="0030605D">
        <w:rPr>
          <w:rFonts w:ascii="Arial" w:eastAsiaTheme="minorEastAsia" w:hAnsi="Arial" w:cs="Arial"/>
          <w:bCs/>
          <w:sz w:val="22"/>
          <w:szCs w:val="22"/>
        </w:rPr>
        <w:t xml:space="preserve">RAN1 </w:t>
      </w:r>
      <w:r w:rsidR="004A3FF9">
        <w:rPr>
          <w:rFonts w:ascii="Arial" w:eastAsiaTheme="minorEastAsia" w:hAnsi="Arial" w:cs="Arial"/>
          <w:bCs/>
          <w:sz w:val="22"/>
          <w:szCs w:val="22"/>
        </w:rPr>
        <w:t>meeting’s agreed mechanism.</w:t>
      </w:r>
      <w:r w:rsidR="0030605D">
        <w:rPr>
          <w:rFonts w:ascii="Arial" w:eastAsiaTheme="minorEastAsia" w:hAnsi="Arial" w:cs="Arial"/>
          <w:bCs/>
          <w:sz w:val="22"/>
          <w:szCs w:val="22"/>
        </w:rPr>
        <w:t xml:space="preserve"> Besides, </w:t>
      </w:r>
      <w:r w:rsidR="002E7A7A">
        <w:rPr>
          <w:rFonts w:ascii="Arial" w:eastAsiaTheme="minorEastAsia" w:hAnsi="Arial" w:cs="Arial"/>
          <w:bCs/>
          <w:sz w:val="22"/>
          <w:szCs w:val="22"/>
        </w:rPr>
        <w:t>thanks to Rel-18 eUTCI design related to UL power control, no matter PH that the UE should report</w:t>
      </w:r>
      <w:r w:rsidR="00FB0B4C" w:rsidRPr="00FB0B4C">
        <w:rPr>
          <w:rFonts w:ascii="Arial" w:eastAsiaTheme="minorEastAsia" w:hAnsi="Arial" w:cs="Arial"/>
          <w:bCs/>
          <w:sz w:val="22"/>
          <w:szCs w:val="22"/>
        </w:rPr>
        <w:t xml:space="preserve"> </w:t>
      </w:r>
      <w:r w:rsidR="00FB0B4C">
        <w:rPr>
          <w:rFonts w:ascii="Arial" w:eastAsiaTheme="minorEastAsia" w:hAnsi="Arial" w:cs="Arial"/>
          <w:bCs/>
          <w:sz w:val="22"/>
          <w:szCs w:val="22"/>
        </w:rPr>
        <w:t>corresponds to an actual PH or virtual PH</w:t>
      </w:r>
      <w:r w:rsidR="002E7A7A">
        <w:rPr>
          <w:rFonts w:ascii="Arial" w:eastAsiaTheme="minorEastAsia" w:hAnsi="Arial" w:cs="Arial"/>
          <w:bCs/>
          <w:sz w:val="22"/>
          <w:szCs w:val="22"/>
        </w:rPr>
        <w:t>, the first/second indicated TCI state would be used for PHR calculating.</w:t>
      </w:r>
      <w:r w:rsidR="00400B15">
        <w:rPr>
          <w:rFonts w:ascii="Arial" w:eastAsiaTheme="minorEastAsia" w:hAnsi="Arial" w:cs="Arial"/>
          <w:bCs/>
          <w:sz w:val="22"/>
          <w:szCs w:val="22"/>
        </w:rPr>
        <w:t xml:space="preserve"> Thus, when the UE calculate the one PH based on the PL offset value, it’s natural to apply a PL offset value for PHR calculation.</w:t>
      </w:r>
      <w:r w:rsidR="00C83C37">
        <w:rPr>
          <w:rFonts w:ascii="Arial" w:eastAsiaTheme="minorEastAsia" w:hAnsi="Arial" w:cs="Arial"/>
          <w:bCs/>
          <w:sz w:val="22"/>
          <w:szCs w:val="22"/>
        </w:rPr>
        <w:t xml:space="preserve">  </w:t>
      </w:r>
    </w:p>
    <w:p w14:paraId="20E1EDC8" w14:textId="5765401F" w:rsidR="00F72972" w:rsidRPr="000248E1" w:rsidRDefault="00F72972" w:rsidP="00F7297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C83C37">
        <w:rPr>
          <w:rFonts w:ascii="Arial" w:eastAsiaTheme="minorEastAsia" w:hAnsi="Arial" w:cs="Arial"/>
          <w:b/>
          <w:bCs/>
          <w:sz w:val="22"/>
          <w:szCs w:val="22"/>
        </w:rPr>
        <w:t>UE applies a PL offset associated with an indicated TCI state for PHR calculation.</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D3FA433"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7C013197" w14:textId="77777777" w:rsidR="0096558F" w:rsidRDefault="0096558F" w:rsidP="0096558F">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Support Alt3 to </w:t>
      </w:r>
      <w:r w:rsidRPr="00F72972">
        <w:rPr>
          <w:rFonts w:ascii="Arial" w:eastAsiaTheme="minorEastAsia" w:hAnsi="Arial" w:cs="Arial"/>
          <w:b/>
          <w:bCs/>
          <w:sz w:val="22"/>
          <w:szCs w:val="22"/>
        </w:rPr>
        <w:t>indicat</w:t>
      </w:r>
      <w:r>
        <w:rPr>
          <w:rFonts w:ascii="Arial" w:eastAsiaTheme="minorEastAsia" w:hAnsi="Arial" w:cs="Arial"/>
          <w:b/>
          <w:bCs/>
          <w:sz w:val="22"/>
          <w:szCs w:val="22"/>
        </w:rPr>
        <w:t>e</w:t>
      </w:r>
      <w:r w:rsidRPr="00F72972">
        <w:rPr>
          <w:rFonts w:ascii="Arial" w:eastAsiaTheme="minorEastAsia" w:hAnsi="Arial" w:cs="Arial"/>
          <w:b/>
          <w:bCs/>
          <w:sz w:val="22"/>
          <w:szCs w:val="22"/>
        </w:rPr>
        <w:t xml:space="preserve"> a PL offset for PDCCH-order PRACH transmission</w:t>
      </w:r>
      <w:r>
        <w:rPr>
          <w:rFonts w:ascii="Arial" w:eastAsiaTheme="minorEastAsia" w:hAnsi="Arial" w:cs="Arial"/>
          <w:b/>
          <w:bCs/>
          <w:sz w:val="22"/>
          <w:szCs w:val="22"/>
        </w:rPr>
        <w:t>.</w:t>
      </w:r>
    </w:p>
    <w:p w14:paraId="54D85AE0" w14:textId="77777777" w:rsidR="0096558F" w:rsidRPr="0096558F" w:rsidRDefault="0096558F" w:rsidP="0096558F">
      <w:pPr>
        <w:pStyle w:val="afe"/>
        <w:numPr>
          <w:ilvl w:val="0"/>
          <w:numId w:val="46"/>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96558F">
        <w:rPr>
          <w:rFonts w:ascii="Arial" w:eastAsiaTheme="minorEastAsia" w:hAnsi="Arial" w:cs="Arial"/>
          <w:b/>
          <w:bCs/>
          <w:sz w:val="22"/>
          <w:szCs w:val="22"/>
        </w:rPr>
        <w:t>Alt3: The PL offset associated with one of the indicated joint/UL TCI state for UL TRP in unified TCI framework is applied on the PDCCH-order PRACH transmission</w:t>
      </w:r>
    </w:p>
    <w:p w14:paraId="3D0BE005" w14:textId="77777777" w:rsidR="0096558F" w:rsidRPr="000248E1" w:rsidRDefault="0096558F" w:rsidP="0096558F">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UE applies a PL offset associated with an indicated TCI state for PHR calculation.</w:t>
      </w:r>
    </w:p>
    <w:p w14:paraId="5D8AEA0E" w14:textId="77777777" w:rsidR="0096558F" w:rsidRDefault="0096558F" w:rsidP="000D05D3">
      <w:pPr>
        <w:spacing w:afterLines="50" w:line="300" w:lineRule="exact"/>
        <w:jc w:val="both"/>
        <w:rPr>
          <w:sz w:val="22"/>
          <w:szCs w:val="22"/>
        </w:rPr>
      </w:pPr>
    </w:p>
    <w:sectPr w:rsidR="0096558F"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176CC" w14:textId="77777777" w:rsidR="009300FF" w:rsidRDefault="009300FF" w:rsidP="000D05D3">
      <w:pPr>
        <w:spacing w:after="0"/>
      </w:pPr>
      <w:r>
        <w:separator/>
      </w:r>
    </w:p>
  </w:endnote>
  <w:endnote w:type="continuationSeparator" w:id="0">
    <w:p w14:paraId="715EF8EE" w14:textId="77777777" w:rsidR="009300FF" w:rsidRDefault="009300F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BB0A0" w14:textId="77777777" w:rsidR="009300FF" w:rsidRDefault="009300FF" w:rsidP="000D05D3">
      <w:pPr>
        <w:spacing w:after="0"/>
      </w:pPr>
      <w:r>
        <w:separator/>
      </w:r>
    </w:p>
  </w:footnote>
  <w:footnote w:type="continuationSeparator" w:id="0">
    <w:p w14:paraId="39CB09C5" w14:textId="77777777" w:rsidR="009300FF" w:rsidRDefault="009300F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DA5888"/>
    <w:multiLevelType w:val="hybridMultilevel"/>
    <w:tmpl w:val="2FFC55AE"/>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AC52FB"/>
    <w:multiLevelType w:val="hybridMultilevel"/>
    <w:tmpl w:val="62B8C422"/>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A5AEB"/>
    <w:multiLevelType w:val="hybridMultilevel"/>
    <w:tmpl w:val="3F82AA14"/>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2"/>
  </w:num>
  <w:num w:numId="3">
    <w:abstractNumId w:val="4"/>
  </w:num>
  <w:num w:numId="4">
    <w:abstractNumId w:val="24"/>
  </w:num>
  <w:num w:numId="5">
    <w:abstractNumId w:val="45"/>
  </w:num>
  <w:num w:numId="6">
    <w:abstractNumId w:val="25"/>
  </w:num>
  <w:num w:numId="7">
    <w:abstractNumId w:val="43"/>
  </w:num>
  <w:num w:numId="8">
    <w:abstractNumId w:val="17"/>
  </w:num>
  <w:num w:numId="9">
    <w:abstractNumId w:val="3"/>
  </w:num>
  <w:num w:numId="10">
    <w:abstractNumId w:val="0"/>
  </w:num>
  <w:num w:numId="11">
    <w:abstractNumId w:val="41"/>
  </w:num>
  <w:num w:numId="12">
    <w:abstractNumId w:val="33"/>
  </w:num>
  <w:num w:numId="13">
    <w:abstractNumId w:val="20"/>
  </w:num>
  <w:num w:numId="14">
    <w:abstractNumId w:val="21"/>
  </w:num>
  <w:num w:numId="15">
    <w:abstractNumId w:val="16"/>
  </w:num>
  <w:num w:numId="16">
    <w:abstractNumId w:val="15"/>
  </w:num>
  <w:num w:numId="17">
    <w:abstractNumId w:val="12"/>
  </w:num>
  <w:num w:numId="18">
    <w:abstractNumId w:val="13"/>
  </w:num>
  <w:num w:numId="19">
    <w:abstractNumId w:val="38"/>
  </w:num>
  <w:num w:numId="20">
    <w:abstractNumId w:val="29"/>
  </w:num>
  <w:num w:numId="21">
    <w:abstractNumId w:val="40"/>
  </w:num>
  <w:num w:numId="22">
    <w:abstractNumId w:val="39"/>
  </w:num>
  <w:num w:numId="23">
    <w:abstractNumId w:val="11"/>
  </w:num>
  <w:num w:numId="24">
    <w:abstractNumId w:val="1"/>
  </w:num>
  <w:num w:numId="25">
    <w:abstractNumId w:val="42"/>
  </w:num>
  <w:num w:numId="26">
    <w:abstractNumId w:val="2"/>
  </w:num>
  <w:num w:numId="27">
    <w:abstractNumId w:val="10"/>
  </w:num>
  <w:num w:numId="28">
    <w:abstractNumId w:val="37"/>
  </w:num>
  <w:num w:numId="29">
    <w:abstractNumId w:val="26"/>
  </w:num>
  <w:num w:numId="30">
    <w:abstractNumId w:val="5"/>
  </w:num>
  <w:num w:numId="31">
    <w:abstractNumId w:val="27"/>
  </w:num>
  <w:num w:numId="32">
    <w:abstractNumId w:val="6"/>
  </w:num>
  <w:num w:numId="33">
    <w:abstractNumId w:val="28"/>
  </w:num>
  <w:num w:numId="34">
    <w:abstractNumId w:val="23"/>
  </w:num>
  <w:num w:numId="35">
    <w:abstractNumId w:val="36"/>
  </w:num>
  <w:num w:numId="36">
    <w:abstractNumId w:val="14"/>
  </w:num>
  <w:num w:numId="37">
    <w:abstractNumId w:val="9"/>
  </w:num>
  <w:num w:numId="38">
    <w:abstractNumId w:val="31"/>
  </w:num>
  <w:num w:numId="39">
    <w:abstractNumId w:val="34"/>
  </w:num>
  <w:num w:numId="40">
    <w:abstractNumId w:val="44"/>
  </w:num>
  <w:num w:numId="41">
    <w:abstractNumId w:val="7"/>
  </w:num>
  <w:num w:numId="42">
    <w:abstractNumId w:val="30"/>
  </w:num>
  <w:num w:numId="43">
    <w:abstractNumId w:val="35"/>
  </w:num>
  <w:num w:numId="44">
    <w:abstractNumId w:val="18"/>
  </w:num>
  <w:num w:numId="45">
    <w:abstractNumId w:val="19"/>
  </w:num>
  <w:num w:numId="46">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48E1"/>
    <w:rsid w:val="00025CCE"/>
    <w:rsid w:val="00031BA7"/>
    <w:rsid w:val="00032067"/>
    <w:rsid w:val="00034480"/>
    <w:rsid w:val="0003579A"/>
    <w:rsid w:val="000360A7"/>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3915"/>
    <w:rsid w:val="00084A01"/>
    <w:rsid w:val="00085BEF"/>
    <w:rsid w:val="0008778E"/>
    <w:rsid w:val="00087989"/>
    <w:rsid w:val="000909A2"/>
    <w:rsid w:val="0009502F"/>
    <w:rsid w:val="000A3808"/>
    <w:rsid w:val="000A4E92"/>
    <w:rsid w:val="000A7768"/>
    <w:rsid w:val="000C10A3"/>
    <w:rsid w:val="000C26D9"/>
    <w:rsid w:val="000C3F13"/>
    <w:rsid w:val="000C73B1"/>
    <w:rsid w:val="000D05D3"/>
    <w:rsid w:val="000E0C01"/>
    <w:rsid w:val="000E1294"/>
    <w:rsid w:val="000E2889"/>
    <w:rsid w:val="000E7D18"/>
    <w:rsid w:val="000F0A68"/>
    <w:rsid w:val="000F0FD5"/>
    <w:rsid w:val="000F5204"/>
    <w:rsid w:val="00100300"/>
    <w:rsid w:val="001034DA"/>
    <w:rsid w:val="001054D5"/>
    <w:rsid w:val="00105F53"/>
    <w:rsid w:val="0010797F"/>
    <w:rsid w:val="00107AA3"/>
    <w:rsid w:val="00107CAB"/>
    <w:rsid w:val="00110D70"/>
    <w:rsid w:val="001210A4"/>
    <w:rsid w:val="00124DA2"/>
    <w:rsid w:val="00131A55"/>
    <w:rsid w:val="00134223"/>
    <w:rsid w:val="00134C2D"/>
    <w:rsid w:val="0013658A"/>
    <w:rsid w:val="001373BC"/>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76379"/>
    <w:rsid w:val="0017714F"/>
    <w:rsid w:val="00180B60"/>
    <w:rsid w:val="00180F8F"/>
    <w:rsid w:val="0018381C"/>
    <w:rsid w:val="00183DA0"/>
    <w:rsid w:val="00190C63"/>
    <w:rsid w:val="001923D3"/>
    <w:rsid w:val="00193564"/>
    <w:rsid w:val="00193F65"/>
    <w:rsid w:val="001A23EB"/>
    <w:rsid w:val="001A40C3"/>
    <w:rsid w:val="001A5961"/>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18B8"/>
    <w:rsid w:val="002C3DB7"/>
    <w:rsid w:val="002C6E7F"/>
    <w:rsid w:val="002D34A1"/>
    <w:rsid w:val="002E13AA"/>
    <w:rsid w:val="002E2E8A"/>
    <w:rsid w:val="002E61A9"/>
    <w:rsid w:val="002E7A7A"/>
    <w:rsid w:val="002F4B52"/>
    <w:rsid w:val="002F6FA2"/>
    <w:rsid w:val="00301BF8"/>
    <w:rsid w:val="00302987"/>
    <w:rsid w:val="003048CB"/>
    <w:rsid w:val="003058EB"/>
    <w:rsid w:val="0030605D"/>
    <w:rsid w:val="00310721"/>
    <w:rsid w:val="00310FB2"/>
    <w:rsid w:val="00312B1C"/>
    <w:rsid w:val="00313146"/>
    <w:rsid w:val="00314BA6"/>
    <w:rsid w:val="00316D76"/>
    <w:rsid w:val="00317F2D"/>
    <w:rsid w:val="003231B8"/>
    <w:rsid w:val="003234F5"/>
    <w:rsid w:val="00324153"/>
    <w:rsid w:val="00325D9C"/>
    <w:rsid w:val="00326A3B"/>
    <w:rsid w:val="00327264"/>
    <w:rsid w:val="00333A54"/>
    <w:rsid w:val="003348E7"/>
    <w:rsid w:val="00335DC5"/>
    <w:rsid w:val="00343606"/>
    <w:rsid w:val="00352CEC"/>
    <w:rsid w:val="00354606"/>
    <w:rsid w:val="00354C8F"/>
    <w:rsid w:val="0035664C"/>
    <w:rsid w:val="00356C41"/>
    <w:rsid w:val="00356E0A"/>
    <w:rsid w:val="00357883"/>
    <w:rsid w:val="003613F7"/>
    <w:rsid w:val="0036213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0B15"/>
    <w:rsid w:val="00404400"/>
    <w:rsid w:val="00407077"/>
    <w:rsid w:val="00407168"/>
    <w:rsid w:val="004077C6"/>
    <w:rsid w:val="004128C3"/>
    <w:rsid w:val="0041469B"/>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3939"/>
    <w:rsid w:val="00447EBB"/>
    <w:rsid w:val="00450957"/>
    <w:rsid w:val="004523D9"/>
    <w:rsid w:val="0045300D"/>
    <w:rsid w:val="0045633A"/>
    <w:rsid w:val="00456A50"/>
    <w:rsid w:val="00457138"/>
    <w:rsid w:val="00461771"/>
    <w:rsid w:val="00462E97"/>
    <w:rsid w:val="00464155"/>
    <w:rsid w:val="00465E48"/>
    <w:rsid w:val="00470E11"/>
    <w:rsid w:val="00472783"/>
    <w:rsid w:val="0047348E"/>
    <w:rsid w:val="00475CCB"/>
    <w:rsid w:val="00476D23"/>
    <w:rsid w:val="004804D0"/>
    <w:rsid w:val="004812CC"/>
    <w:rsid w:val="004817C0"/>
    <w:rsid w:val="00483C12"/>
    <w:rsid w:val="004841EC"/>
    <w:rsid w:val="00486BCB"/>
    <w:rsid w:val="00492A83"/>
    <w:rsid w:val="004948C5"/>
    <w:rsid w:val="004957BD"/>
    <w:rsid w:val="00495952"/>
    <w:rsid w:val="004A1BD6"/>
    <w:rsid w:val="004A3FF9"/>
    <w:rsid w:val="004A6002"/>
    <w:rsid w:val="004B1E02"/>
    <w:rsid w:val="004B39D4"/>
    <w:rsid w:val="004B4D96"/>
    <w:rsid w:val="004B6ACB"/>
    <w:rsid w:val="004C0922"/>
    <w:rsid w:val="004C49FC"/>
    <w:rsid w:val="004C5255"/>
    <w:rsid w:val="004C6D11"/>
    <w:rsid w:val="004D04C6"/>
    <w:rsid w:val="004D45D1"/>
    <w:rsid w:val="004E099B"/>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3F5B"/>
    <w:rsid w:val="00514606"/>
    <w:rsid w:val="0051485D"/>
    <w:rsid w:val="00517500"/>
    <w:rsid w:val="00521B8C"/>
    <w:rsid w:val="00533F25"/>
    <w:rsid w:val="005340E3"/>
    <w:rsid w:val="00534186"/>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8F"/>
    <w:rsid w:val="005A433E"/>
    <w:rsid w:val="005B2D5E"/>
    <w:rsid w:val="005B5D71"/>
    <w:rsid w:val="005C1F20"/>
    <w:rsid w:val="005C2577"/>
    <w:rsid w:val="005C270F"/>
    <w:rsid w:val="005D3878"/>
    <w:rsid w:val="005D63A5"/>
    <w:rsid w:val="005E0400"/>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5FC"/>
    <w:rsid w:val="006C282A"/>
    <w:rsid w:val="006E1E6D"/>
    <w:rsid w:val="006E2F6B"/>
    <w:rsid w:val="006E3094"/>
    <w:rsid w:val="006E585C"/>
    <w:rsid w:val="006E63BF"/>
    <w:rsid w:val="006F2C15"/>
    <w:rsid w:val="006F325A"/>
    <w:rsid w:val="006F49BB"/>
    <w:rsid w:val="006F799D"/>
    <w:rsid w:val="007003C0"/>
    <w:rsid w:val="0070581B"/>
    <w:rsid w:val="00711D23"/>
    <w:rsid w:val="00712271"/>
    <w:rsid w:val="00712741"/>
    <w:rsid w:val="00716057"/>
    <w:rsid w:val="007163FE"/>
    <w:rsid w:val="00720965"/>
    <w:rsid w:val="00724CED"/>
    <w:rsid w:val="007259AF"/>
    <w:rsid w:val="00727250"/>
    <w:rsid w:val="00727854"/>
    <w:rsid w:val="007279DD"/>
    <w:rsid w:val="0073629E"/>
    <w:rsid w:val="00736630"/>
    <w:rsid w:val="00736B37"/>
    <w:rsid w:val="00740575"/>
    <w:rsid w:val="0074289F"/>
    <w:rsid w:val="007432A5"/>
    <w:rsid w:val="00745932"/>
    <w:rsid w:val="00751098"/>
    <w:rsid w:val="007567A8"/>
    <w:rsid w:val="007616C6"/>
    <w:rsid w:val="00762965"/>
    <w:rsid w:val="0076359F"/>
    <w:rsid w:val="00764A37"/>
    <w:rsid w:val="00764CB2"/>
    <w:rsid w:val="00766E2E"/>
    <w:rsid w:val="00771702"/>
    <w:rsid w:val="00775084"/>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B7C25"/>
    <w:rsid w:val="007C478E"/>
    <w:rsid w:val="007C557A"/>
    <w:rsid w:val="007D2BD7"/>
    <w:rsid w:val="007D570F"/>
    <w:rsid w:val="007E0F12"/>
    <w:rsid w:val="007E7324"/>
    <w:rsid w:val="007F7652"/>
    <w:rsid w:val="007F7B88"/>
    <w:rsid w:val="00800506"/>
    <w:rsid w:val="00803BE9"/>
    <w:rsid w:val="00811DC9"/>
    <w:rsid w:val="008129F4"/>
    <w:rsid w:val="00816276"/>
    <w:rsid w:val="00823ED5"/>
    <w:rsid w:val="00824BBC"/>
    <w:rsid w:val="00824DC9"/>
    <w:rsid w:val="008303C3"/>
    <w:rsid w:val="00830BF1"/>
    <w:rsid w:val="00831F31"/>
    <w:rsid w:val="0083371A"/>
    <w:rsid w:val="0083444B"/>
    <w:rsid w:val="00836846"/>
    <w:rsid w:val="0083741C"/>
    <w:rsid w:val="00840447"/>
    <w:rsid w:val="00842128"/>
    <w:rsid w:val="00842658"/>
    <w:rsid w:val="00842906"/>
    <w:rsid w:val="0084308E"/>
    <w:rsid w:val="00844F40"/>
    <w:rsid w:val="00846086"/>
    <w:rsid w:val="008468E3"/>
    <w:rsid w:val="00851760"/>
    <w:rsid w:val="00854452"/>
    <w:rsid w:val="00862EAC"/>
    <w:rsid w:val="00866A83"/>
    <w:rsid w:val="008702AC"/>
    <w:rsid w:val="0087462F"/>
    <w:rsid w:val="00881AF7"/>
    <w:rsid w:val="00893C78"/>
    <w:rsid w:val="00895D59"/>
    <w:rsid w:val="008968B4"/>
    <w:rsid w:val="00897923"/>
    <w:rsid w:val="008A0220"/>
    <w:rsid w:val="008A219B"/>
    <w:rsid w:val="008A4CE3"/>
    <w:rsid w:val="008A5081"/>
    <w:rsid w:val="008A7BB1"/>
    <w:rsid w:val="008B1AEA"/>
    <w:rsid w:val="008B1C30"/>
    <w:rsid w:val="008B2B61"/>
    <w:rsid w:val="008B6ED6"/>
    <w:rsid w:val="008C171F"/>
    <w:rsid w:val="008C1A9B"/>
    <w:rsid w:val="008C2F03"/>
    <w:rsid w:val="008C3126"/>
    <w:rsid w:val="008C62BB"/>
    <w:rsid w:val="008C6EE9"/>
    <w:rsid w:val="008C6F73"/>
    <w:rsid w:val="008C7F44"/>
    <w:rsid w:val="008D37E6"/>
    <w:rsid w:val="008D6004"/>
    <w:rsid w:val="008D60F9"/>
    <w:rsid w:val="008D6876"/>
    <w:rsid w:val="008E3B67"/>
    <w:rsid w:val="008E503C"/>
    <w:rsid w:val="008F405F"/>
    <w:rsid w:val="008F4A88"/>
    <w:rsid w:val="008F5935"/>
    <w:rsid w:val="00901AB1"/>
    <w:rsid w:val="00901B2C"/>
    <w:rsid w:val="00920F14"/>
    <w:rsid w:val="00922EC8"/>
    <w:rsid w:val="009300FF"/>
    <w:rsid w:val="0093637F"/>
    <w:rsid w:val="00937048"/>
    <w:rsid w:val="009419A5"/>
    <w:rsid w:val="00944AE9"/>
    <w:rsid w:val="00952123"/>
    <w:rsid w:val="00955C49"/>
    <w:rsid w:val="009560EE"/>
    <w:rsid w:val="0095711B"/>
    <w:rsid w:val="0095751E"/>
    <w:rsid w:val="009603D4"/>
    <w:rsid w:val="00960D67"/>
    <w:rsid w:val="00960F73"/>
    <w:rsid w:val="0096558F"/>
    <w:rsid w:val="0097193E"/>
    <w:rsid w:val="009765AB"/>
    <w:rsid w:val="0098293C"/>
    <w:rsid w:val="00985936"/>
    <w:rsid w:val="009861B8"/>
    <w:rsid w:val="009874A0"/>
    <w:rsid w:val="00991A6F"/>
    <w:rsid w:val="0099286C"/>
    <w:rsid w:val="00994995"/>
    <w:rsid w:val="00995F95"/>
    <w:rsid w:val="009A1C2D"/>
    <w:rsid w:val="009A21A3"/>
    <w:rsid w:val="009A27C8"/>
    <w:rsid w:val="009A298E"/>
    <w:rsid w:val="009A57B6"/>
    <w:rsid w:val="009B592D"/>
    <w:rsid w:val="009B657B"/>
    <w:rsid w:val="009C05C4"/>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7DB"/>
    <w:rsid w:val="00A0625E"/>
    <w:rsid w:val="00A064E1"/>
    <w:rsid w:val="00A076DA"/>
    <w:rsid w:val="00A07F3D"/>
    <w:rsid w:val="00A242C6"/>
    <w:rsid w:val="00A30985"/>
    <w:rsid w:val="00A35F1A"/>
    <w:rsid w:val="00A379CB"/>
    <w:rsid w:val="00A412F7"/>
    <w:rsid w:val="00A42E4A"/>
    <w:rsid w:val="00A43DB0"/>
    <w:rsid w:val="00A444D7"/>
    <w:rsid w:val="00A4594A"/>
    <w:rsid w:val="00A50069"/>
    <w:rsid w:val="00A51577"/>
    <w:rsid w:val="00A53E2A"/>
    <w:rsid w:val="00A60003"/>
    <w:rsid w:val="00A60319"/>
    <w:rsid w:val="00A60DAB"/>
    <w:rsid w:val="00A6299E"/>
    <w:rsid w:val="00A63A6F"/>
    <w:rsid w:val="00A6436E"/>
    <w:rsid w:val="00A6543E"/>
    <w:rsid w:val="00A66486"/>
    <w:rsid w:val="00A66B57"/>
    <w:rsid w:val="00A73E1D"/>
    <w:rsid w:val="00A7456C"/>
    <w:rsid w:val="00A74FA2"/>
    <w:rsid w:val="00A81C02"/>
    <w:rsid w:val="00A86124"/>
    <w:rsid w:val="00A870BD"/>
    <w:rsid w:val="00A9222F"/>
    <w:rsid w:val="00A9295C"/>
    <w:rsid w:val="00A938F4"/>
    <w:rsid w:val="00A93D9A"/>
    <w:rsid w:val="00AA6995"/>
    <w:rsid w:val="00AA7579"/>
    <w:rsid w:val="00AB3A64"/>
    <w:rsid w:val="00AB477C"/>
    <w:rsid w:val="00AB50A6"/>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6C72"/>
    <w:rsid w:val="00B41A2F"/>
    <w:rsid w:val="00B44E48"/>
    <w:rsid w:val="00B46975"/>
    <w:rsid w:val="00B507E3"/>
    <w:rsid w:val="00B557E7"/>
    <w:rsid w:val="00B56CED"/>
    <w:rsid w:val="00B62EE7"/>
    <w:rsid w:val="00B65A52"/>
    <w:rsid w:val="00B66008"/>
    <w:rsid w:val="00B70092"/>
    <w:rsid w:val="00B70A92"/>
    <w:rsid w:val="00B72867"/>
    <w:rsid w:val="00B759F6"/>
    <w:rsid w:val="00B762B0"/>
    <w:rsid w:val="00B824F3"/>
    <w:rsid w:val="00B86DBB"/>
    <w:rsid w:val="00B876B2"/>
    <w:rsid w:val="00B9053C"/>
    <w:rsid w:val="00B94EF3"/>
    <w:rsid w:val="00B95271"/>
    <w:rsid w:val="00B95831"/>
    <w:rsid w:val="00B9653C"/>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E72"/>
    <w:rsid w:val="00BD2ABC"/>
    <w:rsid w:val="00BE0A4E"/>
    <w:rsid w:val="00BE2058"/>
    <w:rsid w:val="00BE21E8"/>
    <w:rsid w:val="00BE2522"/>
    <w:rsid w:val="00BE3C75"/>
    <w:rsid w:val="00BE7AB3"/>
    <w:rsid w:val="00C10222"/>
    <w:rsid w:val="00C10729"/>
    <w:rsid w:val="00C113BD"/>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579E6"/>
    <w:rsid w:val="00C60731"/>
    <w:rsid w:val="00C62EAE"/>
    <w:rsid w:val="00C64715"/>
    <w:rsid w:val="00C6506A"/>
    <w:rsid w:val="00C7089B"/>
    <w:rsid w:val="00C7381B"/>
    <w:rsid w:val="00C76258"/>
    <w:rsid w:val="00C767A9"/>
    <w:rsid w:val="00C83C37"/>
    <w:rsid w:val="00C84956"/>
    <w:rsid w:val="00C84F4E"/>
    <w:rsid w:val="00C852B6"/>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30F0"/>
    <w:rsid w:val="00CE6689"/>
    <w:rsid w:val="00CF2979"/>
    <w:rsid w:val="00CF3070"/>
    <w:rsid w:val="00CF3D8E"/>
    <w:rsid w:val="00CF5E36"/>
    <w:rsid w:val="00D05DD8"/>
    <w:rsid w:val="00D061E8"/>
    <w:rsid w:val="00D0785A"/>
    <w:rsid w:val="00D11801"/>
    <w:rsid w:val="00D136A2"/>
    <w:rsid w:val="00D21D04"/>
    <w:rsid w:val="00D25FB0"/>
    <w:rsid w:val="00D26411"/>
    <w:rsid w:val="00D26D8F"/>
    <w:rsid w:val="00D3154F"/>
    <w:rsid w:val="00D319E3"/>
    <w:rsid w:val="00D322A0"/>
    <w:rsid w:val="00D43C73"/>
    <w:rsid w:val="00D52C0A"/>
    <w:rsid w:val="00D55A43"/>
    <w:rsid w:val="00D55A79"/>
    <w:rsid w:val="00D56291"/>
    <w:rsid w:val="00D57B62"/>
    <w:rsid w:val="00D61496"/>
    <w:rsid w:val="00D62F60"/>
    <w:rsid w:val="00D65F05"/>
    <w:rsid w:val="00D65FD8"/>
    <w:rsid w:val="00D670C6"/>
    <w:rsid w:val="00D71682"/>
    <w:rsid w:val="00D74598"/>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4F2A"/>
    <w:rsid w:val="00DA6634"/>
    <w:rsid w:val="00DA6A2C"/>
    <w:rsid w:val="00DA6BFD"/>
    <w:rsid w:val="00DB0D72"/>
    <w:rsid w:val="00DB1EA9"/>
    <w:rsid w:val="00DB29F1"/>
    <w:rsid w:val="00DB517B"/>
    <w:rsid w:val="00DB569A"/>
    <w:rsid w:val="00DC073C"/>
    <w:rsid w:val="00DC1115"/>
    <w:rsid w:val="00DC38BE"/>
    <w:rsid w:val="00DC5CB0"/>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4F05"/>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CF3"/>
    <w:rsid w:val="00E4513C"/>
    <w:rsid w:val="00E45CF4"/>
    <w:rsid w:val="00E45EC0"/>
    <w:rsid w:val="00E51734"/>
    <w:rsid w:val="00E569A6"/>
    <w:rsid w:val="00E610F1"/>
    <w:rsid w:val="00E62C7D"/>
    <w:rsid w:val="00E63810"/>
    <w:rsid w:val="00E64648"/>
    <w:rsid w:val="00E64D31"/>
    <w:rsid w:val="00E67302"/>
    <w:rsid w:val="00E70707"/>
    <w:rsid w:val="00E70AFC"/>
    <w:rsid w:val="00E71239"/>
    <w:rsid w:val="00E843B7"/>
    <w:rsid w:val="00E867AE"/>
    <w:rsid w:val="00E908F7"/>
    <w:rsid w:val="00E912B3"/>
    <w:rsid w:val="00E92EF0"/>
    <w:rsid w:val="00E932FE"/>
    <w:rsid w:val="00E9451F"/>
    <w:rsid w:val="00EA22B9"/>
    <w:rsid w:val="00EA2A60"/>
    <w:rsid w:val="00EA4A0F"/>
    <w:rsid w:val="00EA50F1"/>
    <w:rsid w:val="00EA53DA"/>
    <w:rsid w:val="00EA6C06"/>
    <w:rsid w:val="00EB649A"/>
    <w:rsid w:val="00EB6C9D"/>
    <w:rsid w:val="00EB7964"/>
    <w:rsid w:val="00EB7E35"/>
    <w:rsid w:val="00EC4661"/>
    <w:rsid w:val="00EC4B9C"/>
    <w:rsid w:val="00EC6455"/>
    <w:rsid w:val="00EC675C"/>
    <w:rsid w:val="00EC78C9"/>
    <w:rsid w:val="00ED46B5"/>
    <w:rsid w:val="00ED6131"/>
    <w:rsid w:val="00EE03C4"/>
    <w:rsid w:val="00EE130E"/>
    <w:rsid w:val="00EE14F4"/>
    <w:rsid w:val="00EE4E23"/>
    <w:rsid w:val="00EE72F2"/>
    <w:rsid w:val="00EF208B"/>
    <w:rsid w:val="00EF5EEA"/>
    <w:rsid w:val="00EF616F"/>
    <w:rsid w:val="00F011F4"/>
    <w:rsid w:val="00F05299"/>
    <w:rsid w:val="00F06187"/>
    <w:rsid w:val="00F132FD"/>
    <w:rsid w:val="00F148F5"/>
    <w:rsid w:val="00F17CD1"/>
    <w:rsid w:val="00F32171"/>
    <w:rsid w:val="00F33624"/>
    <w:rsid w:val="00F347C0"/>
    <w:rsid w:val="00F3493C"/>
    <w:rsid w:val="00F34B5E"/>
    <w:rsid w:val="00F35972"/>
    <w:rsid w:val="00F37C47"/>
    <w:rsid w:val="00F41B28"/>
    <w:rsid w:val="00F43722"/>
    <w:rsid w:val="00F45450"/>
    <w:rsid w:val="00F47710"/>
    <w:rsid w:val="00F51D2B"/>
    <w:rsid w:val="00F52B16"/>
    <w:rsid w:val="00F5473C"/>
    <w:rsid w:val="00F60360"/>
    <w:rsid w:val="00F61216"/>
    <w:rsid w:val="00F6390F"/>
    <w:rsid w:val="00F66C71"/>
    <w:rsid w:val="00F72972"/>
    <w:rsid w:val="00F73006"/>
    <w:rsid w:val="00F7356E"/>
    <w:rsid w:val="00F750F7"/>
    <w:rsid w:val="00F80B09"/>
    <w:rsid w:val="00F83038"/>
    <w:rsid w:val="00F84E83"/>
    <w:rsid w:val="00F86DCD"/>
    <w:rsid w:val="00F86EAB"/>
    <w:rsid w:val="00F97CA7"/>
    <w:rsid w:val="00FA1618"/>
    <w:rsid w:val="00FA2D85"/>
    <w:rsid w:val="00FA36F5"/>
    <w:rsid w:val="00FA60B9"/>
    <w:rsid w:val="00FB0A12"/>
    <w:rsid w:val="00FB0B4C"/>
    <w:rsid w:val="00FB139D"/>
    <w:rsid w:val="00FB3AA6"/>
    <w:rsid w:val="00FB5A30"/>
    <w:rsid w:val="00FB7628"/>
    <w:rsid w:val="00FC1864"/>
    <w:rsid w:val="00FC1881"/>
    <w:rsid w:val="00FD23AB"/>
    <w:rsid w:val="00FD551A"/>
    <w:rsid w:val="00FD701F"/>
    <w:rsid w:val="00FE13B7"/>
    <w:rsid w:val="00FE6904"/>
    <w:rsid w:val="00FE69DD"/>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4F8FF-16C2-4CCF-AA69-9E0CBD334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686</Words>
  <Characters>3912</Characters>
  <Application>Microsoft Office Word</Application>
  <DocSecurity>0</DocSecurity>
  <Lines>32</Lines>
  <Paragraphs>9</Paragraphs>
  <ScaleCrop>false</ScaleCrop>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23</cp:revision>
  <dcterms:created xsi:type="dcterms:W3CDTF">2024-05-08T07:12:00Z</dcterms:created>
  <dcterms:modified xsi:type="dcterms:W3CDTF">2024-08-09T08:33:00Z</dcterms:modified>
</cp:coreProperties>
</file>